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1A16D" w14:textId="77777777" w:rsidR="000A31C2" w:rsidRPr="008A2F1B" w:rsidRDefault="00856D2D" w:rsidP="008A2F1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Computing Resources</w:t>
      </w:r>
    </w:p>
    <w:p w14:paraId="55CAB640" w14:textId="77777777" w:rsidR="008A2F1B" w:rsidRDefault="008A2F1B" w:rsidP="008A2F1B">
      <w:pPr>
        <w:pStyle w:val="NoSpacing"/>
        <w:rPr>
          <w:rFonts w:ascii="Times New Roman" w:hAnsi="Times New Roman" w:cs="Times New Roman"/>
        </w:rPr>
      </w:pPr>
    </w:p>
    <w:p w14:paraId="5CBEA56B" w14:textId="77777777" w:rsidR="000914E7" w:rsidRDefault="000914E7" w:rsidP="008A2F1B">
      <w:pPr>
        <w:pStyle w:val="NoSpacing"/>
        <w:rPr>
          <w:rFonts w:ascii="Times New Roman" w:hAnsi="Times New Roman" w:cs="Times New Roman"/>
        </w:rPr>
      </w:pPr>
    </w:p>
    <w:p w14:paraId="18DCD07E" w14:textId="77777777" w:rsidR="008D0E2A" w:rsidRDefault="00AA75FA" w:rsidP="008D0E2A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IMPORTANT: </w:t>
      </w:r>
      <w:r w:rsidR="00980BC1" w:rsidRPr="00980BC1">
        <w:rPr>
          <w:bCs/>
          <w:color w:val="000000"/>
          <w:sz w:val="22"/>
          <w:szCs w:val="22"/>
        </w:rPr>
        <w:t>The</w:t>
      </w:r>
      <w:r w:rsidR="00980BC1">
        <w:rPr>
          <w:b/>
          <w:color w:val="000000"/>
          <w:sz w:val="22"/>
          <w:szCs w:val="22"/>
        </w:rPr>
        <w:t xml:space="preserve"> </w:t>
      </w:r>
      <w:r w:rsidR="00980BC1">
        <w:rPr>
          <w:color w:val="000000"/>
          <w:sz w:val="22"/>
          <w:szCs w:val="22"/>
        </w:rPr>
        <w:t>EMSL computing systems available to users are</w:t>
      </w:r>
      <w:r>
        <w:rPr>
          <w:color w:val="000000"/>
          <w:sz w:val="22"/>
          <w:szCs w:val="22"/>
        </w:rPr>
        <w:t xml:space="preserve"> not approved for use with sensitive data. </w:t>
      </w:r>
      <w:r w:rsidRPr="00AA75FA">
        <w:rPr>
          <w:color w:val="000000"/>
          <w:sz w:val="22"/>
          <w:szCs w:val="22"/>
        </w:rPr>
        <w:t xml:space="preserve">The processing, storage, or transmittal of sensitive data (e.g. Personally Identifiable Information, Official Use Only, etc.) is </w:t>
      </w:r>
      <w:r w:rsidR="00980BC1">
        <w:rPr>
          <w:color w:val="000000"/>
          <w:sz w:val="22"/>
          <w:szCs w:val="22"/>
        </w:rPr>
        <w:t xml:space="preserve">thus </w:t>
      </w:r>
      <w:r w:rsidRPr="00AA75FA">
        <w:rPr>
          <w:color w:val="000000"/>
          <w:sz w:val="22"/>
          <w:szCs w:val="22"/>
        </w:rPr>
        <w:t xml:space="preserve">prohibited </w:t>
      </w:r>
      <w:r w:rsidR="001569C1">
        <w:rPr>
          <w:color w:val="000000"/>
          <w:sz w:val="22"/>
          <w:szCs w:val="22"/>
        </w:rPr>
        <w:t>on Tahoma, Cascade and Aurora</w:t>
      </w:r>
      <w:r w:rsidRPr="00AA75FA">
        <w:rPr>
          <w:color w:val="000000"/>
          <w:sz w:val="22"/>
          <w:szCs w:val="22"/>
        </w:rPr>
        <w:t>. Due diligence must be used to prevent inadvertent disclosure of invention, patent, or other sensitive information. It is your responsibility to protect access to the information.</w:t>
      </w:r>
      <w:r w:rsidR="008D0E2A">
        <w:rPr>
          <w:color w:val="000000"/>
          <w:sz w:val="22"/>
          <w:szCs w:val="22"/>
        </w:rPr>
        <w:t xml:space="preserve">  </w:t>
      </w:r>
    </w:p>
    <w:p w14:paraId="6A372459" w14:textId="77777777" w:rsidR="008D0E2A" w:rsidRDefault="008D0E2A" w:rsidP="008A2F1B">
      <w:pPr>
        <w:pStyle w:val="NoSpacing"/>
        <w:rPr>
          <w:rFonts w:ascii="Times New Roman" w:hAnsi="Times New Roman" w:cs="Times New Roman"/>
        </w:rPr>
      </w:pPr>
    </w:p>
    <w:p w14:paraId="607A5B79" w14:textId="07F444A1" w:rsidR="00641C11" w:rsidRPr="000914E7" w:rsidRDefault="005408BB" w:rsidP="008A2F1B">
      <w:pPr>
        <w:pStyle w:val="NoSpacing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93285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56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41C11" w:rsidRPr="000914E7">
        <w:rPr>
          <w:rFonts w:ascii="Times New Roman" w:hAnsi="Times New Roman" w:cs="Times New Roman"/>
          <w:b/>
        </w:rPr>
        <w:t xml:space="preserve">  By checking this box, I am confirming that </w:t>
      </w:r>
      <w:r w:rsidR="00AA75FA" w:rsidRPr="00AA75FA">
        <w:rPr>
          <w:rFonts w:ascii="Times New Roman" w:hAnsi="Times New Roman" w:cs="Times New Roman"/>
          <w:b/>
        </w:rPr>
        <w:t xml:space="preserve">participants on this proposal will NOT process, store, or transmit sensitive data (e.g. Personally Identifiable Information, Official Use Only, etc.) on </w:t>
      </w:r>
      <w:r w:rsidR="001569C1">
        <w:rPr>
          <w:rFonts w:ascii="Times New Roman" w:hAnsi="Times New Roman" w:cs="Times New Roman"/>
          <w:b/>
        </w:rPr>
        <w:t>Tahoma, Cascade or Aurora</w:t>
      </w:r>
      <w:r w:rsidR="00AA75FA" w:rsidRPr="00AA75FA">
        <w:rPr>
          <w:rFonts w:ascii="Times New Roman" w:hAnsi="Times New Roman" w:cs="Times New Roman"/>
          <w:b/>
        </w:rPr>
        <w:t>.</w:t>
      </w:r>
    </w:p>
    <w:p w14:paraId="5114156F" w14:textId="77777777" w:rsidR="00641C11" w:rsidRDefault="00641C11" w:rsidP="008A2F1B">
      <w:pPr>
        <w:pStyle w:val="NoSpacing"/>
        <w:rPr>
          <w:rFonts w:ascii="Times New Roman" w:hAnsi="Times New Roman" w:cs="Times New Roman"/>
        </w:rPr>
      </w:pPr>
    </w:p>
    <w:p w14:paraId="0A87336C" w14:textId="77777777" w:rsidR="008A2F1B" w:rsidRDefault="008A2F1B" w:rsidP="008A2F1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02"/>
        <w:gridCol w:w="1145"/>
        <w:gridCol w:w="1208"/>
        <w:gridCol w:w="1440"/>
        <w:gridCol w:w="1709"/>
        <w:gridCol w:w="2246"/>
      </w:tblGrid>
      <w:tr w:rsidR="00856D2D" w:rsidRPr="00856D2D" w14:paraId="5E794E60" w14:textId="77777777" w:rsidTr="00856D2D">
        <w:tc>
          <w:tcPr>
            <w:tcW w:w="5000" w:type="pct"/>
            <w:gridSpan w:val="6"/>
          </w:tcPr>
          <w:p w14:paraId="7FCC5F84" w14:textId="77777777" w:rsidR="00856D2D" w:rsidRPr="00856D2D" w:rsidRDefault="00856D2D" w:rsidP="00696150">
            <w:pPr>
              <w:pStyle w:val="NoSpacing"/>
              <w:tabs>
                <w:tab w:val="left" w:pos="660"/>
                <w:tab w:val="center" w:pos="4567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856D2D">
              <w:rPr>
                <w:rFonts w:ascii="Times New Roman" w:hAnsi="Times New Roman" w:cs="Times New Roman"/>
                <w:b/>
              </w:rPr>
              <w:t xml:space="preserve">Total </w:t>
            </w:r>
            <w:r w:rsidR="00980BC1">
              <w:rPr>
                <w:rFonts w:ascii="Times New Roman" w:hAnsi="Times New Roman" w:cs="Times New Roman"/>
                <w:b/>
              </w:rPr>
              <w:t xml:space="preserve">CPU </w:t>
            </w:r>
            <w:r w:rsidRPr="00856D2D">
              <w:rPr>
                <w:rFonts w:ascii="Times New Roman" w:hAnsi="Times New Roman" w:cs="Times New Roman"/>
                <w:b/>
              </w:rPr>
              <w:t>Hour</w:t>
            </w:r>
            <w:r w:rsidR="00980BC1">
              <w:rPr>
                <w:rFonts w:ascii="Times New Roman" w:hAnsi="Times New Roman" w:cs="Times New Roman"/>
                <w:b/>
              </w:rPr>
              <w:t>s</w:t>
            </w:r>
            <w:r w:rsidRPr="00856D2D">
              <w:rPr>
                <w:rFonts w:ascii="Times New Roman" w:hAnsi="Times New Roman" w:cs="Times New Roman"/>
                <w:b/>
              </w:rPr>
              <w:t xml:space="preserve"> Request for first year of proposal:  </w:t>
            </w:r>
          </w:p>
        </w:tc>
      </w:tr>
      <w:tr w:rsidR="00980BC1" w:rsidRPr="00856D2D" w14:paraId="703EA051" w14:textId="77777777" w:rsidTr="00856D2D">
        <w:tc>
          <w:tcPr>
            <w:tcW w:w="5000" w:type="pct"/>
            <w:gridSpan w:val="6"/>
          </w:tcPr>
          <w:p w14:paraId="6EC0A9CA" w14:textId="77777777" w:rsidR="00980BC1" w:rsidRPr="00856D2D" w:rsidRDefault="00980BC1" w:rsidP="00696150">
            <w:pPr>
              <w:pStyle w:val="NoSpacing"/>
              <w:tabs>
                <w:tab w:val="left" w:pos="660"/>
                <w:tab w:val="center" w:pos="4567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856D2D"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</w:rPr>
              <w:t xml:space="preserve">GPGPU </w:t>
            </w:r>
            <w:r w:rsidRPr="00856D2D">
              <w:rPr>
                <w:rFonts w:ascii="Times New Roman" w:hAnsi="Times New Roman" w:cs="Times New Roman"/>
                <w:b/>
              </w:rPr>
              <w:t>Hour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856D2D">
              <w:rPr>
                <w:rFonts w:ascii="Times New Roman" w:hAnsi="Times New Roman" w:cs="Times New Roman"/>
                <w:b/>
              </w:rPr>
              <w:t xml:space="preserve"> Request for first year of proposal:  </w:t>
            </w:r>
          </w:p>
        </w:tc>
      </w:tr>
      <w:tr w:rsidR="00856D2D" w:rsidRPr="00856D2D" w14:paraId="6B3A4F71" w14:textId="77777777" w:rsidTr="00856D2D">
        <w:tc>
          <w:tcPr>
            <w:tcW w:w="5000" w:type="pct"/>
            <w:gridSpan w:val="6"/>
            <w:tcBorders>
              <w:bottom w:val="single" w:sz="12" w:space="0" w:color="000000" w:themeColor="text1"/>
            </w:tcBorders>
          </w:tcPr>
          <w:p w14:paraId="2D994008" w14:textId="77777777" w:rsidR="00856D2D" w:rsidRPr="00856D2D" w:rsidRDefault="00856D2D" w:rsidP="0069615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856D2D">
              <w:rPr>
                <w:rFonts w:ascii="Times New Roman" w:hAnsi="Times New Roman" w:cs="Times New Roman"/>
                <w:b/>
              </w:rPr>
              <w:t xml:space="preserve">Total Data Archive Request for first year of proposal: </w:t>
            </w:r>
          </w:p>
        </w:tc>
      </w:tr>
      <w:tr w:rsidR="00856D2D" w14:paraId="2AAA10A4" w14:textId="77777777" w:rsidTr="003A6566">
        <w:tc>
          <w:tcPr>
            <w:tcW w:w="857" w:type="pct"/>
            <w:tcBorders>
              <w:top w:val="single" w:sz="12" w:space="0" w:color="000000" w:themeColor="text1"/>
            </w:tcBorders>
          </w:tcPr>
          <w:p w14:paraId="37068867" w14:textId="77777777" w:rsidR="00856D2D" w:rsidRPr="008A2F1B" w:rsidRDefault="00856D2D" w:rsidP="001254B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Software Details</w:t>
            </w:r>
          </w:p>
        </w:tc>
        <w:tc>
          <w:tcPr>
            <w:tcW w:w="612" w:type="pct"/>
            <w:tcBorders>
              <w:top w:val="single" w:sz="12" w:space="0" w:color="000000" w:themeColor="text1"/>
            </w:tcBorders>
          </w:tcPr>
          <w:p w14:paraId="10ABB60E" w14:textId="77777777" w:rsidR="00856D2D" w:rsidRPr="008A2F1B" w:rsidRDefault="00980BC1" w:rsidP="001254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Node Request (CPUs or GPGPUs)</w:t>
            </w:r>
          </w:p>
        </w:tc>
        <w:tc>
          <w:tcPr>
            <w:tcW w:w="646" w:type="pct"/>
            <w:tcBorders>
              <w:top w:val="single" w:sz="12" w:space="0" w:color="000000" w:themeColor="text1"/>
            </w:tcBorders>
          </w:tcPr>
          <w:p w14:paraId="2673FA60" w14:textId="77777777" w:rsidR="00856D2D" w:rsidRPr="008A2F1B" w:rsidRDefault="00980BC1" w:rsidP="001254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Estimated # of jobs</w:t>
            </w:r>
          </w:p>
        </w:tc>
        <w:tc>
          <w:tcPr>
            <w:tcW w:w="770" w:type="pct"/>
            <w:tcBorders>
              <w:top w:val="single" w:sz="12" w:space="0" w:color="000000" w:themeColor="text1"/>
            </w:tcBorders>
          </w:tcPr>
          <w:p w14:paraId="4A58ECB2" w14:textId="77777777" w:rsidR="00856D2D" w:rsidRPr="00D8760E" w:rsidRDefault="001569C1" w:rsidP="001254B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Estimated</w:t>
            </w:r>
            <w:r w:rsidR="00856D2D">
              <w:rPr>
                <w:rFonts w:ascii="Times New Roman" w:hAnsi="Times New Roman" w:cs="Times New Roman"/>
                <w:b/>
              </w:rPr>
              <w:t xml:space="preserve"> Node Hours</w:t>
            </w:r>
          </w:p>
        </w:tc>
        <w:tc>
          <w:tcPr>
            <w:tcW w:w="914" w:type="pct"/>
            <w:tcBorders>
              <w:top w:val="single" w:sz="12" w:space="0" w:color="000000" w:themeColor="text1"/>
            </w:tcBorders>
          </w:tcPr>
          <w:p w14:paraId="507D4EDE" w14:textId="77777777" w:rsidR="00856D2D" w:rsidRPr="00D8760E" w:rsidRDefault="004017FF" w:rsidP="001254B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Expertise of your investigators for these requests</w:t>
            </w:r>
          </w:p>
        </w:tc>
        <w:tc>
          <w:tcPr>
            <w:tcW w:w="1201" w:type="pct"/>
            <w:tcBorders>
              <w:top w:val="single" w:sz="12" w:space="0" w:color="000000" w:themeColor="text1"/>
            </w:tcBorders>
          </w:tcPr>
          <w:p w14:paraId="72476B32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EMSL Support Requested</w:t>
            </w:r>
          </w:p>
          <w:p w14:paraId="38E8411F" w14:textId="77777777" w:rsidR="00856D2D" w:rsidRP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56D2D">
              <w:rPr>
                <w:rFonts w:ascii="Times New Roman" w:hAnsi="Times New Roman" w:cs="Times New Roman"/>
                <w:i/>
                <w:sz w:val="20"/>
              </w:rPr>
              <w:t>Specific Needs</w:t>
            </w:r>
          </w:p>
          <w:p w14:paraId="411701BA" w14:textId="77777777" w:rsidR="00856D2D" w:rsidRP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856D2D">
              <w:rPr>
                <w:rFonts w:ascii="Times New Roman" w:hAnsi="Times New Roman" w:cs="Times New Roman"/>
                <w:i/>
                <w:sz w:val="20"/>
              </w:rPr>
              <w:t>(e.g., compiling code, libraries needed, help running jobs, etc.)</w:t>
            </w:r>
          </w:p>
        </w:tc>
      </w:tr>
      <w:tr w:rsidR="00856D2D" w14:paraId="754ECE43" w14:textId="77777777" w:rsidTr="003A6566">
        <w:tc>
          <w:tcPr>
            <w:tcW w:w="857" w:type="pct"/>
          </w:tcPr>
          <w:p w14:paraId="3F07A51B" w14:textId="665E789A" w:rsidR="00856D2D" w:rsidRPr="003A6566" w:rsidRDefault="003A6566" w:rsidP="001254BD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656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Example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</w:t>
            </w:r>
            <w:r w:rsidRPr="003A656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</w:p>
          <w:p w14:paraId="0BA8C62D" w14:textId="7A3AA380" w:rsidR="003A6566" w:rsidRPr="003A6566" w:rsidRDefault="003A6566" w:rsidP="001254BD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656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TETHYS</w:t>
            </w:r>
          </w:p>
          <w:p w14:paraId="594D35C6" w14:textId="08AF100E" w:rsidR="003A6566" w:rsidRPr="003A6566" w:rsidRDefault="003A6566" w:rsidP="001254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</w:tcPr>
          <w:p w14:paraId="4B863FFE" w14:textId="77777777" w:rsidR="00856D2D" w:rsidRPr="003A6566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14D0BD" w14:textId="728F3151" w:rsidR="003A6566" w:rsidRPr="003A6566" w:rsidRDefault="003A6566" w:rsidP="001254BD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656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CPU</w:t>
            </w:r>
          </w:p>
        </w:tc>
        <w:tc>
          <w:tcPr>
            <w:tcW w:w="646" w:type="pct"/>
          </w:tcPr>
          <w:p w14:paraId="328C965F" w14:textId="77777777" w:rsidR="00856D2D" w:rsidRPr="003A6566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89409" w14:textId="2CAFC358" w:rsidR="003A6566" w:rsidRPr="003A6566" w:rsidRDefault="003A6566" w:rsidP="003A656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656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70" w:type="pct"/>
          </w:tcPr>
          <w:p w14:paraId="2602817A" w14:textId="77777777" w:rsidR="00856D2D" w:rsidRPr="003A6566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41203" w14:textId="6C81332F" w:rsidR="003A6566" w:rsidRPr="003A6566" w:rsidRDefault="003A6566" w:rsidP="001254BD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656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300,000</w:t>
            </w:r>
          </w:p>
        </w:tc>
        <w:tc>
          <w:tcPr>
            <w:tcW w:w="914" w:type="pct"/>
          </w:tcPr>
          <w:p w14:paraId="0B7E4687" w14:textId="77777777" w:rsidR="00856D2D" w:rsidRPr="003A6566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3C77E" w14:textId="75955C4C" w:rsidR="003A6566" w:rsidRPr="003A6566" w:rsidRDefault="003A6566" w:rsidP="001254BD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656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Expert User</w:t>
            </w:r>
          </w:p>
        </w:tc>
        <w:tc>
          <w:tcPr>
            <w:tcW w:w="1201" w:type="pct"/>
          </w:tcPr>
          <w:p w14:paraId="576914C6" w14:textId="0B5DBD41" w:rsidR="003A6566" w:rsidRPr="003A6566" w:rsidRDefault="003A6566" w:rsidP="003A6566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656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Support for porting existing codes into Tahoma</w:t>
            </w:r>
          </w:p>
        </w:tc>
      </w:tr>
      <w:tr w:rsidR="00856D2D" w14:paraId="44D13DEA" w14:textId="77777777" w:rsidTr="003A6566">
        <w:tc>
          <w:tcPr>
            <w:tcW w:w="857" w:type="pct"/>
          </w:tcPr>
          <w:p w14:paraId="6B4BD47A" w14:textId="77777777" w:rsidR="00856D2D" w:rsidRDefault="00856D2D" w:rsidP="001254B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</w:tcPr>
          <w:p w14:paraId="57233B23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</w:tcPr>
          <w:p w14:paraId="7DA0A06D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16377953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</w:tcPr>
          <w:p w14:paraId="69362537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pct"/>
          </w:tcPr>
          <w:p w14:paraId="5D3E946F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D2D" w14:paraId="15112329" w14:textId="77777777" w:rsidTr="003A6566">
        <w:tc>
          <w:tcPr>
            <w:tcW w:w="857" w:type="pct"/>
          </w:tcPr>
          <w:p w14:paraId="2A4120D0" w14:textId="77777777" w:rsidR="00856D2D" w:rsidRDefault="00856D2D" w:rsidP="001254B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</w:tcPr>
          <w:p w14:paraId="1F948722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</w:tcPr>
          <w:p w14:paraId="2010E657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436159EB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</w:tcPr>
          <w:p w14:paraId="08C35CB3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pct"/>
          </w:tcPr>
          <w:p w14:paraId="49C7E7B7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D2D" w14:paraId="42FEDCAA" w14:textId="77777777" w:rsidTr="003A6566">
        <w:tc>
          <w:tcPr>
            <w:tcW w:w="857" w:type="pct"/>
          </w:tcPr>
          <w:p w14:paraId="4D7EA0E7" w14:textId="77777777" w:rsidR="00856D2D" w:rsidRDefault="00856D2D" w:rsidP="001254B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</w:tcPr>
          <w:p w14:paraId="0DEFA2ED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</w:tcPr>
          <w:p w14:paraId="3D4A0BE1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5CB68FE7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</w:tcPr>
          <w:p w14:paraId="62BB7099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pct"/>
          </w:tcPr>
          <w:p w14:paraId="4BDB9C10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D2D" w14:paraId="71D2F27B" w14:textId="77777777" w:rsidTr="003A6566">
        <w:tc>
          <w:tcPr>
            <w:tcW w:w="857" w:type="pct"/>
          </w:tcPr>
          <w:p w14:paraId="46645134" w14:textId="77777777" w:rsidR="00856D2D" w:rsidRDefault="00856D2D" w:rsidP="001254B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</w:tcPr>
          <w:p w14:paraId="118C23DE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</w:tcPr>
          <w:p w14:paraId="4848A54F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25FAA13E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</w:tcPr>
          <w:p w14:paraId="1B087D53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pct"/>
          </w:tcPr>
          <w:p w14:paraId="2FBC9CAA" w14:textId="77777777"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AD58E3" w14:textId="76EE48CC" w:rsidR="00856D2D" w:rsidRDefault="00856D2D" w:rsidP="008A2F1B">
      <w:pPr>
        <w:pStyle w:val="NoSpacing"/>
        <w:rPr>
          <w:rFonts w:ascii="Times New Roman" w:hAnsi="Times New Roman" w:cs="Times New Roman"/>
        </w:rPr>
      </w:pPr>
    </w:p>
    <w:p w14:paraId="40C500B4" w14:textId="72D2C077" w:rsidR="00EB3204" w:rsidRPr="00EB3204" w:rsidRDefault="00EB3204" w:rsidP="00EB3204">
      <w:pPr>
        <w:rPr>
          <w:sz w:val="18"/>
          <w:szCs w:val="18"/>
        </w:rPr>
      </w:pPr>
    </w:p>
    <w:p w14:paraId="60B8E13D" w14:textId="77777777" w:rsidR="00EB3204" w:rsidRPr="00EB3204" w:rsidRDefault="00EB3204" w:rsidP="00EB3204">
      <w:pPr>
        <w:rPr>
          <w:sz w:val="18"/>
          <w:szCs w:val="18"/>
        </w:rPr>
      </w:pPr>
      <w:r w:rsidRPr="00EB3204">
        <w:rPr>
          <w:sz w:val="18"/>
          <w:szCs w:val="18"/>
        </w:rPr>
        <w:t xml:space="preserve">Notes: </w:t>
      </w:r>
    </w:p>
    <w:p w14:paraId="2FA5D7EC" w14:textId="2CB13C81" w:rsidR="00EB3204" w:rsidRPr="000F18EA" w:rsidRDefault="00EB3204" w:rsidP="000F18EA">
      <w:pPr>
        <w:rPr>
          <w:sz w:val="18"/>
          <w:szCs w:val="18"/>
        </w:rPr>
      </w:pPr>
      <w:r w:rsidRPr="000F18EA">
        <w:rPr>
          <w:sz w:val="18"/>
          <w:szCs w:val="18"/>
        </w:rPr>
        <w:t>Tahoma allocations are awarded in units of wall-clock time expressed in node-hours. Tahoma's 160 CPU nodes each have 36 (3.1 GHz) Intel Xeon processor cores with 384 GB of memory and 2 TB of flash storage. Consequently, 10,000 Tahoma CPU node-hours are equal to 360,000 processor core-hours. Tahoma's 24 GPGPU nodes each have 36 processor cores and 2 Nvidia v100 GPGPUs, 1536 GB of memory, and 7 TB of flash storage. Tahoma's 10 PB global file system is capable of 100 Gigabyte/sec bandwidth. Tahoma can deliver a total of 1,500,000 node-hours per year.</w:t>
      </w:r>
    </w:p>
    <w:p w14:paraId="2666BAD6" w14:textId="77777777" w:rsidR="000F18EA" w:rsidRDefault="000F18EA" w:rsidP="000F18EA">
      <w:pPr>
        <w:rPr>
          <w:sz w:val="18"/>
          <w:szCs w:val="18"/>
        </w:rPr>
      </w:pPr>
    </w:p>
    <w:p w14:paraId="08594EC1" w14:textId="3E4CE129" w:rsidR="00EB3204" w:rsidRPr="000F18EA" w:rsidRDefault="00EB3204" w:rsidP="000F18EA">
      <w:pPr>
        <w:rPr>
          <w:sz w:val="18"/>
          <w:szCs w:val="18"/>
        </w:rPr>
      </w:pPr>
      <w:r w:rsidRPr="000F18EA">
        <w:rPr>
          <w:sz w:val="18"/>
          <w:szCs w:val="18"/>
        </w:rPr>
        <w:t>Upon successful review and approval of a proposal, computing resources will be allocated for analysis and archiving of experimental data generated at EMSL.</w:t>
      </w:r>
    </w:p>
    <w:p w14:paraId="2E6BB1D9" w14:textId="77777777" w:rsidR="00EB3204" w:rsidRPr="00EB3204" w:rsidRDefault="00EB3204" w:rsidP="00EB3204">
      <w:pPr>
        <w:rPr>
          <w:sz w:val="18"/>
          <w:szCs w:val="18"/>
        </w:rPr>
      </w:pPr>
    </w:p>
    <w:sectPr w:rsidR="00EB3204" w:rsidRPr="00EB3204" w:rsidSect="00696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863E5"/>
    <w:multiLevelType w:val="hybridMultilevel"/>
    <w:tmpl w:val="4D10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A0004"/>
    <w:multiLevelType w:val="hybridMultilevel"/>
    <w:tmpl w:val="76AC1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1B"/>
    <w:rsid w:val="000914E7"/>
    <w:rsid w:val="000A31C2"/>
    <w:rsid w:val="000F18EA"/>
    <w:rsid w:val="001569C1"/>
    <w:rsid w:val="003A6566"/>
    <w:rsid w:val="003D0783"/>
    <w:rsid w:val="003D46B6"/>
    <w:rsid w:val="004017FF"/>
    <w:rsid w:val="00536FD6"/>
    <w:rsid w:val="005408BB"/>
    <w:rsid w:val="00641C11"/>
    <w:rsid w:val="0067753D"/>
    <w:rsid w:val="00696150"/>
    <w:rsid w:val="006C22DD"/>
    <w:rsid w:val="00856D2D"/>
    <w:rsid w:val="008A2F1B"/>
    <w:rsid w:val="008D0E2A"/>
    <w:rsid w:val="009158D1"/>
    <w:rsid w:val="00980BC1"/>
    <w:rsid w:val="00AA75FA"/>
    <w:rsid w:val="00D705DE"/>
    <w:rsid w:val="00D8760E"/>
    <w:rsid w:val="00EB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CDF9"/>
  <w15:chartTrackingRefBased/>
  <w15:docId w15:val="{6AC12D60-8188-4F97-9D69-6B1B7422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F1B"/>
    <w:pPr>
      <w:spacing w:after="0" w:line="240" w:lineRule="auto"/>
    </w:pPr>
  </w:style>
  <w:style w:type="table" w:styleId="TableGrid">
    <w:name w:val="Table Grid"/>
    <w:basedOn w:val="TableNormal"/>
    <w:uiPriority w:val="39"/>
    <w:rsid w:val="008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9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C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32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3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1" ma:contentTypeDescription="Create a new document." ma:contentTypeScope="" ma:versionID="b48f8e86845235fca4fbcfe7df48cc27">
  <xsd:schema xmlns:xsd="http://www.w3.org/2001/XMLSchema" xmlns:xs="http://www.w3.org/2001/XMLSchema" xmlns:p="http://schemas.microsoft.com/office/2006/metadata/properties" xmlns:ns2="c984396b-6b2b-4702-b0ed-ddd4650c9569" xmlns:ns3="df1a08c3-14da-4669-a81b-4822034d70c2" targetNamespace="http://schemas.microsoft.com/office/2006/metadata/properties" ma:root="true" ma:fieldsID="a9f9f10c1f11ca8ba23f0dd77afb6853" ns2:_="" ns3:_="">
    <xsd:import namespace="c984396b-6b2b-4702-b0ed-ddd4650c9569"/>
    <xsd:import namespace="df1a08c3-14da-4669-a81b-4822034d70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82692-8D66-4C0E-9B3F-7D4D1E0BEBD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df1a08c3-14da-4669-a81b-4822034d70c2"/>
    <ds:schemaRef ds:uri="c984396b-6b2b-4702-b0ed-ddd4650c9569"/>
    <ds:schemaRef ds:uri="http://purl.org/dc/dcmitype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C6DE00-6F4E-4B79-9E6B-A58B534C9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9CC90-578C-4217-A604-E739BD2F9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 IM Services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Courtney</dc:creator>
  <cp:keywords/>
  <dc:description/>
  <cp:lastModifiedBy>Isakson, Linda U</cp:lastModifiedBy>
  <cp:revision>2</cp:revision>
  <dcterms:created xsi:type="dcterms:W3CDTF">2021-02-15T21:55:00Z</dcterms:created>
  <dcterms:modified xsi:type="dcterms:W3CDTF">2021-02-15T21:55:00Z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</Properties>
</file>